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BA" w:rsidRPr="00DE1DFE" w:rsidRDefault="00C93ABA" w:rsidP="00C93AB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УВАГИ</w:t>
      </w:r>
    </w:p>
    <w:p w:rsidR="00C93ABA" w:rsidRPr="00DE1DFE" w:rsidRDefault="00C93ABA" w:rsidP="00C93AB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ПОТЕНЦІЙНИХ УЧАСНИКІВ ТОРГІВ</w:t>
      </w:r>
    </w:p>
    <w:p w:rsidR="00C93ABA" w:rsidRPr="00DE1DFE" w:rsidRDefault="00C93ABA" w:rsidP="00C93AB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предметом закупівлі по коду ДК 021:2015-71630000-3</w:t>
      </w:r>
    </w:p>
    <w:p w:rsidR="00C93ABA" w:rsidRPr="00DE1DFE" w:rsidRDefault="00C93ABA" w:rsidP="00C93AB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«Послуги з технічного огляду та випробувань»</w:t>
      </w:r>
    </w:p>
    <w:p w:rsidR="00C93ABA" w:rsidRPr="00DE1DFE" w:rsidRDefault="00C93ABA" w:rsidP="00C93AB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3ABA" w:rsidRPr="00DE1DFE" w:rsidRDefault="00C93ABA" w:rsidP="00DE1DF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Згідно з ст.6 Закону України «Про трубопровідний транспорт» основними принципами державної політики у сфері  трубопровідного транспорту, враховуючи його пріоритетність в економіці України, є забезпечення його надійного та безпечного функціонування. При цьому, ст. 16 цього ж Закону зобов’язує підприємства трубопровідного транспорту  забезпечувати діагностичний контроль за станом трубопроводів діючими засобами згідно з правилами технічної  експлуатації та нормативними актами з діагностики.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3ABA" w:rsidRPr="00DE1DFE" w:rsidRDefault="00C93ABA" w:rsidP="00DE1DF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Результати діагностування дозволяють експлуатуючій організації (</w:t>
      </w:r>
      <w:r w:rsidR="002F0C09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ТОВ «Оператор ГТС України»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 отримати достовірну інформацію про технічний стан об’єктів магістральних газопроводів та, на її основі, забезпечити утримання та експлуатацію  потенційно небезпечних об’єктів газотранспортної системи в належному технічному стані. Від якості результатів діагностування залежить надійне функціонування газотранспортної системи України. Разом з тим, діагностування потенційно небезпечних об’єктів магістральних газопроводів є наукомісткою та технологічно складною галуззю, що вимагає наявності у виконавців відповідного персоналу вузької спеціалізації та високої кваліфікації з належним досвідом, а також наявності  високотехнологічних приладів та обладнання.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3ABA" w:rsidRPr="00DE1DFE" w:rsidRDefault="00C93ABA" w:rsidP="00DE1DF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 метою захисту законних прав та інтересів Оператора ГТС, мінімізації ризиків неякісного та/або несвоєчасного виконання робіт виконавцями, що не мають персоналу належної кваліфікації, досвіду та технічного забезпечення і не можуть забезпечити належну якість результатів діагностування та може поставити під сумнів належне та безаварійне функціонування ГТС України тощо, </w:t>
      </w:r>
      <w:r w:rsidR="003F64E6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ТОВ «Оператор ГТС України»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змушен</w:t>
      </w:r>
      <w:r w:rsidR="003F64E6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ий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здійснювати оцінку та визнання технічної відповідності  організацій  щодо можливості якісного виконання заявлених робіт з діагностування машин, механізмів, устаткування підвищеної небезпеки, споруд (тощо) об’єктів газотранспортної системи </w:t>
      </w:r>
      <w:r w:rsidR="003A23D7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України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(код предмету закупівлі за ДК 021:2015  - 71630000-3 «Послуги з технічного огляду та випробувань»</w:t>
      </w:r>
      <w:r w:rsidR="003A23D7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тощо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D4374" w:rsidRPr="00DE1DFE" w:rsidRDefault="00C93ABA" w:rsidP="00DE1DF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Порядок визнання технічної відповідності організацій  щодо можливості якісного виконання робіт з діагностування машин, механізмів, устаткування підвищеної небезпеки, споруд (тощо) об’єктів газотранспортної системи </w:t>
      </w:r>
      <w:r w:rsidR="003F64E6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ТОВ «Оператор ГТС України»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визначений </w:t>
      </w:r>
      <w:r w:rsidR="003F64E6" w:rsidRPr="00DE1D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нормативним документом НДТОВ 01-013</w:t>
      </w:r>
      <w:r w:rsidR="00465931" w:rsidRPr="00DE1D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:2019</w:t>
      </w:r>
      <w:r w:rsidR="003F64E6" w:rsidRPr="00DE1D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«Магістральні газопроводи. Діагностування. Порядок визнання технічної відповідності організацій»</w:t>
      </w:r>
      <w:r w:rsidR="003A4054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наведений в даному розділі офіційного сайту </w:t>
      </w:r>
      <w:r w:rsidR="003F64E6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ТОВ «Оператор ГТС України»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3F64E6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Крім того на </w:t>
      </w:r>
      <w:r w:rsidR="001D4374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офіційному сайті ТОВ «Оператор ГТС України» наведено «Реєстр організацій, допущених до виконання робіт з діагностування </w:t>
      </w:r>
      <w:r w:rsidR="00DC461D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об’єктів газотранспортної системи України». 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3ABA" w:rsidRPr="00DE1DFE" w:rsidRDefault="00C93ABA" w:rsidP="00DE1DF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Розгляд Заяв </w:t>
      </w:r>
      <w:r w:rsidR="00A50C0A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є безкоштовним і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здійснюється постійно діючою Комісією у порядку надходження заяв.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3ABA" w:rsidRPr="00DE1DFE" w:rsidRDefault="00C93ABA" w:rsidP="00DE1DF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Зважаючи на викладене, в Тендерній документації на закупівлю послуг </w:t>
      </w:r>
      <w:r w:rsidRPr="00DE1D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 предметом закупівлі по коду ДК 021:2015-71630000-3 «Послуги з технічного огляду та випробувань»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крім іншого, буде передбачено наступне:</w:t>
      </w:r>
    </w:p>
    <w:p w:rsidR="00C93ABA" w:rsidRPr="00DE1DFE" w:rsidRDefault="00DE1DFE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C93ABA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6744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="00DC461D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аявність організації в реєстрі організацій, допущених до виконання робіт з діагностування об’єктів газотранспортної системи України</w:t>
      </w:r>
      <w:r w:rsidR="00C93ABA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DC461D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 чинним терміном дії</w:t>
      </w:r>
      <w:r w:rsidR="00C93ABA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дату розкриття тендерних пропозицій) </w:t>
      </w:r>
      <w:r w:rsidR="00DC461D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 зазначенням</w:t>
      </w:r>
      <w:r w:rsidR="00C93ABA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вид</w:t>
      </w:r>
      <w:r w:rsidR="00DC461D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="00C93ABA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діагностичних робіт, що відповідає виду, передба</w:t>
      </w:r>
      <w:r w:rsidR="00DC461D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ченому тендерною документацією</w:t>
      </w:r>
      <w:r w:rsidR="00C93ABA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B00850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(Надається копія реєстру).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3ABA" w:rsidRPr="00DE1DFE" w:rsidRDefault="00C93ABA" w:rsidP="00DE1DF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ВАЖЛИВО! Враховуючи термін, необхідний для проведення </w:t>
      </w:r>
      <w:r w:rsidR="00233D8C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визнання технічної відповідності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учасника щодо можливості виконання діагностичних робіт на стратегічно важливих для держави і потенційно небезпечних об’єктах – об’єктах газотранспортної  системи України, що складає один календарний місяць та більше (у разі необхідності здійснення виїзної перевірки для оцінки матеріально-технічної бази термін продовжується на строк, що необхідний для проведення такої перевірки), рекомендуємо </w:t>
      </w:r>
      <w:r w:rsidR="003A23D7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потенційним 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учасникам торгів</w:t>
      </w:r>
      <w:r w:rsidR="003E7045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A23D7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разі зацікавленості</w:t>
      </w:r>
      <w:r w:rsidR="00DE1DFE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3A23D7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подавати</w:t>
      </w:r>
      <w:r w:rsidR="003E7045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Заяви </w:t>
      </w:r>
      <w:r w:rsidR="00233D8C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внесення до Реєстру організацій</w:t>
      </w:r>
      <w:r w:rsidR="003E7045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94C03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допущених до виконання робіт з діагностування об’єктів газотранспортної системи України</w:t>
      </w:r>
      <w:r w:rsidR="003E7045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A23D7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найкоротші терміни.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Відсутність </w:t>
      </w:r>
      <w:r w:rsidR="00B00850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організації в Реєстр</w:t>
      </w:r>
      <w:r w:rsidR="004743AC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і</w:t>
      </w:r>
      <w:r w:rsidR="00B00850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організацій, допущених до виконання робіт з діагностування об’єктів газотранспортної системи України 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є підставою для </w:t>
      </w:r>
      <w:r w:rsidR="00192553"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недопущення до виконання діагностування на об’єктах газотранспортної системи України</w:t>
      </w:r>
      <w:r w:rsidRPr="00DE1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C93ABA" w:rsidRPr="00DE1DFE" w:rsidRDefault="00C93ABA" w:rsidP="00C93ABA">
      <w:pPr>
        <w:spacing w:before="75" w:after="75" w:line="240" w:lineRule="auto"/>
        <w:ind w:left="1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3ABA" w:rsidRPr="00674494" w:rsidRDefault="00C93ABA" w:rsidP="0067449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744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Заяви розглядаються у встановленому порядку </w:t>
      </w:r>
      <w:r w:rsidR="00B00850" w:rsidRPr="006744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відповідно до </w:t>
      </w:r>
      <w:r w:rsidR="00A50C0A" w:rsidRPr="006744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вимог, встановлених в </w:t>
      </w:r>
      <w:r w:rsidR="00B00850" w:rsidRPr="006744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НДТОВ 01-013:2019</w:t>
      </w:r>
      <w:r w:rsidRPr="006744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B00850" w:rsidRPr="006744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3ABA" w:rsidRPr="00DE1DFE" w:rsidRDefault="00C93ABA" w:rsidP="00C93A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04620" w:rsidRPr="00674494" w:rsidRDefault="007A184E" w:rsidP="00674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494">
        <w:rPr>
          <w:rFonts w:ascii="Times New Roman" w:hAnsi="Times New Roman" w:cs="Times New Roman"/>
          <w:b/>
          <w:sz w:val="24"/>
          <w:szCs w:val="24"/>
        </w:rPr>
        <w:t>КОНТАКТИ</w:t>
      </w:r>
      <w:r w:rsidR="00C20302" w:rsidRPr="00674494">
        <w:rPr>
          <w:rFonts w:ascii="Times New Roman" w:hAnsi="Times New Roman" w:cs="Times New Roman"/>
          <w:b/>
          <w:sz w:val="24"/>
          <w:szCs w:val="24"/>
        </w:rPr>
        <w:t>:</w:t>
      </w:r>
    </w:p>
    <w:p w:rsidR="00B95434" w:rsidRPr="00674494" w:rsidRDefault="00B95434" w:rsidP="00674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494">
        <w:rPr>
          <w:rFonts w:ascii="Times New Roman" w:hAnsi="Times New Roman" w:cs="Times New Roman"/>
          <w:b/>
          <w:sz w:val="24"/>
          <w:szCs w:val="24"/>
        </w:rPr>
        <w:t>З організаційних питань:</w:t>
      </w:r>
    </w:p>
    <w:p w:rsidR="007A184E" w:rsidRPr="00674494" w:rsidRDefault="007A184E" w:rsidP="00674494">
      <w:pPr>
        <w:jc w:val="both"/>
        <w:rPr>
          <w:rFonts w:ascii="Times New Roman" w:hAnsi="Times New Roman" w:cs="Times New Roman"/>
          <w:sz w:val="24"/>
          <w:szCs w:val="24"/>
        </w:rPr>
      </w:pPr>
      <w:r w:rsidRPr="00674494">
        <w:rPr>
          <w:rFonts w:ascii="Times New Roman" w:hAnsi="Times New Roman" w:cs="Times New Roman"/>
          <w:sz w:val="24"/>
          <w:szCs w:val="24"/>
        </w:rPr>
        <w:t>Туманова Оксана Євгенівна (відділ технічної документації та інтегрованих систем управління)</w:t>
      </w:r>
    </w:p>
    <w:p w:rsidR="007A184E" w:rsidRPr="00674494" w:rsidRDefault="007A184E" w:rsidP="00674494">
      <w:pPr>
        <w:jc w:val="both"/>
        <w:rPr>
          <w:rFonts w:ascii="Times New Roman" w:hAnsi="Times New Roman" w:cs="Times New Roman"/>
          <w:sz w:val="24"/>
          <w:szCs w:val="24"/>
        </w:rPr>
      </w:pPr>
      <w:r w:rsidRPr="00674494">
        <w:rPr>
          <w:rFonts w:ascii="Times New Roman" w:hAnsi="Times New Roman" w:cs="Times New Roman"/>
          <w:sz w:val="24"/>
          <w:szCs w:val="24"/>
        </w:rPr>
        <w:t>Тел.: (044) 239-78-89</w:t>
      </w:r>
    </w:p>
    <w:p w:rsidR="007A184E" w:rsidRPr="00674494" w:rsidRDefault="007A184E" w:rsidP="00674494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674494">
        <w:rPr>
          <w:rFonts w:ascii="Times New Roman" w:hAnsi="Times New Roman" w:cs="Times New Roman"/>
          <w:bCs/>
          <w:sz w:val="24"/>
          <w:szCs w:val="24"/>
        </w:rPr>
        <w:t>Ел.пошта</w:t>
      </w:r>
      <w:proofErr w:type="spellEnd"/>
      <w:r w:rsidRPr="00674494">
        <w:rPr>
          <w:rFonts w:ascii="Times New Roman" w:hAnsi="Times New Roman" w:cs="Times New Roman"/>
          <w:bCs/>
          <w:sz w:val="24"/>
          <w:szCs w:val="24"/>
        </w:rPr>
        <w:t>:</w:t>
      </w:r>
      <w:r w:rsidRPr="00674494">
        <w:rPr>
          <w:rFonts w:ascii="Times New Roman" w:hAnsi="Times New Roman" w:cs="Times New Roman"/>
          <w:sz w:val="24"/>
          <w:szCs w:val="24"/>
        </w:rPr>
        <w:t> </w:t>
      </w:r>
      <w:hyperlink r:id="rId4" w:history="1">
        <w:r w:rsidR="00B95434" w:rsidRPr="006744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tumanova</w:t>
        </w:r>
        <w:r w:rsidR="00B95434" w:rsidRPr="0067449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B95434" w:rsidRPr="006744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oe</w:t>
        </w:r>
        <w:r w:rsidR="00B95434" w:rsidRPr="0067449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95434" w:rsidRPr="006744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tsoua</w:t>
        </w:r>
        <w:r w:rsidR="00B95434" w:rsidRPr="0067449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B95434" w:rsidRPr="006744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bookmarkStart w:id="0" w:name="_GoBack"/>
      <w:bookmarkEnd w:id="0"/>
    </w:p>
    <w:sectPr w:rsidR="007A184E" w:rsidRPr="0067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BA"/>
    <w:rsid w:val="00036779"/>
    <w:rsid w:val="00192553"/>
    <w:rsid w:val="001D4374"/>
    <w:rsid w:val="00233D8C"/>
    <w:rsid w:val="002E7F95"/>
    <w:rsid w:val="002F0C09"/>
    <w:rsid w:val="00394C03"/>
    <w:rsid w:val="003A23D7"/>
    <w:rsid w:val="003A4054"/>
    <w:rsid w:val="003E7045"/>
    <w:rsid w:val="003F64E6"/>
    <w:rsid w:val="00465931"/>
    <w:rsid w:val="004743AC"/>
    <w:rsid w:val="004A6FFB"/>
    <w:rsid w:val="00562D0E"/>
    <w:rsid w:val="00674494"/>
    <w:rsid w:val="007A184E"/>
    <w:rsid w:val="00851500"/>
    <w:rsid w:val="009E2A42"/>
    <w:rsid w:val="00A22F63"/>
    <w:rsid w:val="00A50C0A"/>
    <w:rsid w:val="00B00850"/>
    <w:rsid w:val="00B30852"/>
    <w:rsid w:val="00B95434"/>
    <w:rsid w:val="00C20302"/>
    <w:rsid w:val="00C93ABA"/>
    <w:rsid w:val="00D518BC"/>
    <w:rsid w:val="00D85E1B"/>
    <w:rsid w:val="00DC461D"/>
    <w:rsid w:val="00DE1DFE"/>
    <w:rsid w:val="00F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02871-2A6F-490A-B3F3-28CB737E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3D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33D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basedOn w:val="a0"/>
    <w:uiPriority w:val="20"/>
    <w:qFormat/>
    <w:rsid w:val="003E70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A18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7A184E"/>
    <w:rPr>
      <w:b/>
      <w:bCs/>
    </w:rPr>
  </w:style>
  <w:style w:type="paragraph" w:styleId="a5">
    <w:name w:val="Normal (Web)"/>
    <w:basedOn w:val="a"/>
    <w:uiPriority w:val="99"/>
    <w:semiHidden/>
    <w:unhideWhenUsed/>
    <w:rsid w:val="007A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B9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3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manova-oe@tso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2986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Клюнь Андрей Михайлович</dc:creator>
  <cp:lastModifiedBy>Туманова Оксана Євгенівна</cp:lastModifiedBy>
  <cp:revision>8</cp:revision>
  <dcterms:created xsi:type="dcterms:W3CDTF">2019-11-22T09:29:00Z</dcterms:created>
  <dcterms:modified xsi:type="dcterms:W3CDTF">2019-11-22T12:09:00Z</dcterms:modified>
</cp:coreProperties>
</file>